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:</w:t>
            </w:r>
            <w:r w:rsidR="0079278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9D2329">
              <w:rPr>
                <w:rFonts w:cs="B Lotus" w:hint="cs"/>
                <w:rtl/>
              </w:rPr>
              <w:t xml:space="preserve">ناتوانی جنسی </w:t>
            </w:r>
            <w:r w:rsidR="009D2329">
              <w:rPr>
                <w:rFonts w:cs="B Lotus"/>
              </w:rPr>
              <w:t>Erectile Dysfunction</w:t>
            </w:r>
            <w:r w:rsidR="00A8696F">
              <w:rPr>
                <w:rFonts w:cs="B Nazanin" w:hint="cs"/>
                <w:rtl/>
                <w:lang w:bidi="fa-IR"/>
              </w:rPr>
              <w:t xml:space="preserve"> ( برای کارآموزان )</w:t>
            </w:r>
          </w:p>
        </w:tc>
        <w:tc>
          <w:tcPr>
            <w:tcW w:w="4418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سامان فرشید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A869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: </w:t>
            </w:r>
            <w:r w:rsidR="00A8696F">
              <w:rPr>
                <w:rFonts w:cs="B Lotus" w:hint="cs"/>
                <w:rtl/>
              </w:rPr>
              <w:t>آگاهي از گرافي هاي لازم در اورولوژي و نحوه ي كاربرد آن بسته به بيماران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9D2329" w:rsidRPr="008714EA" w:rsidRDefault="00ED2C27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D2C2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1</w:t>
            </w:r>
            <w:r w:rsidR="009D2329"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) تعریف ایموپوتنسی 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2) عوامل عروقی و عصبی دخیل در ایجاد ارکشن 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3) تاثیرات نورترانسیترهای مختلف در ایجاد ارکشن 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>4) تاثیرات بیماری های مختلف در ارکشن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>5) تاثیرات داروهای مصرفی در  ارکشن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6) روش های تشخیصی اعم از سونوگرافی </w:t>
            </w:r>
            <w:r w:rsidRPr="008714EA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8714EA">
              <w:rPr>
                <w:rFonts w:cs="B Nazanin"/>
                <w:sz w:val="26"/>
                <w:szCs w:val="26"/>
                <w:lang w:bidi="fa-IR"/>
              </w:rPr>
              <w:t>NPT</w:t>
            </w: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کاورنوزوگرافی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>7) درمان های دارویی موجود برای ایجاد ارکشن و عوارض آنها</w:t>
            </w:r>
          </w:p>
          <w:p w:rsidR="009D2329" w:rsidRPr="008714EA" w:rsidRDefault="009D2329" w:rsidP="009D232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8- درمان های جراحی موجود برای ایجاد ارکشن </w:t>
            </w:r>
          </w:p>
          <w:p w:rsidR="0086742C" w:rsidRDefault="00A8696F" w:rsidP="00A8696F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lastRenderedPageBreak/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341D79"/>
    <w:rsid w:val="00365A53"/>
    <w:rsid w:val="00394249"/>
    <w:rsid w:val="003C3711"/>
    <w:rsid w:val="003D6CB5"/>
    <w:rsid w:val="00402A1E"/>
    <w:rsid w:val="005006FB"/>
    <w:rsid w:val="00592015"/>
    <w:rsid w:val="006106E1"/>
    <w:rsid w:val="006107B2"/>
    <w:rsid w:val="00622046"/>
    <w:rsid w:val="00624E99"/>
    <w:rsid w:val="0063153D"/>
    <w:rsid w:val="00701754"/>
    <w:rsid w:val="0079182D"/>
    <w:rsid w:val="00792782"/>
    <w:rsid w:val="007F04AD"/>
    <w:rsid w:val="0080558E"/>
    <w:rsid w:val="00810602"/>
    <w:rsid w:val="00812218"/>
    <w:rsid w:val="00826B73"/>
    <w:rsid w:val="0086742C"/>
    <w:rsid w:val="0089646D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CD0F3C"/>
    <w:rsid w:val="00CD394B"/>
    <w:rsid w:val="00D256BF"/>
    <w:rsid w:val="00D61151"/>
    <w:rsid w:val="00D67C94"/>
    <w:rsid w:val="00D77371"/>
    <w:rsid w:val="00D93A65"/>
    <w:rsid w:val="00E12390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3</cp:revision>
  <dcterms:created xsi:type="dcterms:W3CDTF">2024-08-28T10:12:00Z</dcterms:created>
  <dcterms:modified xsi:type="dcterms:W3CDTF">2024-08-28T10:39:00Z</dcterms:modified>
</cp:coreProperties>
</file>